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2A" w:rsidRDefault="00D0522A" w:rsidP="00962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80</w:t>
      </w:r>
    </w:p>
    <w:p w:rsidR="009624FB" w:rsidRDefault="009624FB" w:rsidP="00962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EVALUACIÓN DE LA DENSIDAD MINERAL ÓSEA EN PERSONAS TRANSGÉ</w:t>
      </w:r>
      <w:r w:rsidR="0047472C" w:rsidRPr="009624FB">
        <w:rPr>
          <w:rFonts w:ascii="Times New Roman" w:eastAsia="Times New Roman" w:hAnsi="Times New Roman" w:cs="Times New Roman"/>
          <w:b/>
          <w:bCs/>
        </w:rPr>
        <w:t>NEROS SOMETI</w:t>
      </w:r>
      <w:r>
        <w:rPr>
          <w:rFonts w:ascii="Times New Roman" w:eastAsia="Times New Roman" w:hAnsi="Times New Roman" w:cs="Times New Roman"/>
          <w:b/>
          <w:bCs/>
        </w:rPr>
        <w:t>DAS A TRATAMIENTO DE READECUACIÓ</w:t>
      </w:r>
      <w:r w:rsidR="0047472C" w:rsidRPr="009624FB">
        <w:rPr>
          <w:rFonts w:ascii="Times New Roman" w:eastAsia="Times New Roman" w:hAnsi="Times New Roman" w:cs="Times New Roman"/>
          <w:b/>
          <w:bCs/>
        </w:rPr>
        <w:t>N CORPORAL HORMONAL</w:t>
      </w:r>
    </w:p>
    <w:p w:rsidR="009624FB" w:rsidRDefault="0047472C" w:rsidP="009624F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9624FB">
        <w:rPr>
          <w:rFonts w:ascii="Times New Roman" w:eastAsia="Times New Roman" w:hAnsi="Times New Roman" w:cs="Times New Roman"/>
        </w:rPr>
        <w:t>A</w:t>
      </w:r>
      <w:r w:rsidR="009624FB">
        <w:rPr>
          <w:rFonts w:ascii="Times New Roman" w:eastAsia="Times New Roman" w:hAnsi="Times New Roman" w:cs="Times New Roman"/>
        </w:rPr>
        <w:t>ntonio Zapata Pizarro</w:t>
      </w:r>
      <w:r w:rsidRPr="009624FB">
        <w:rPr>
          <w:rFonts w:ascii="Times New Roman" w:eastAsia="Times New Roman" w:hAnsi="Times New Roman" w:cs="Times New Roman"/>
          <w:vertAlign w:val="superscript"/>
        </w:rPr>
        <w:t>1</w:t>
      </w:r>
      <w:r w:rsidRPr="009624FB">
        <w:rPr>
          <w:rFonts w:ascii="Times New Roman" w:eastAsia="Times New Roman" w:hAnsi="Times New Roman" w:cs="Times New Roman"/>
        </w:rPr>
        <w:t>, Bruno Peralta Jofré</w:t>
      </w:r>
      <w:r w:rsidRPr="009624FB">
        <w:rPr>
          <w:rFonts w:ascii="Times New Roman" w:eastAsia="Times New Roman" w:hAnsi="Times New Roman" w:cs="Times New Roman"/>
          <w:vertAlign w:val="superscript"/>
        </w:rPr>
        <w:t>3</w:t>
      </w:r>
      <w:r w:rsidRPr="009624FB">
        <w:rPr>
          <w:rFonts w:ascii="Times New Roman" w:eastAsia="Times New Roman" w:hAnsi="Times New Roman" w:cs="Times New Roman"/>
        </w:rPr>
        <w:t>, Juan Alvarado Villarroel</w:t>
      </w:r>
      <w:r w:rsidRPr="009624FB">
        <w:rPr>
          <w:rFonts w:ascii="Times New Roman" w:eastAsia="Times New Roman" w:hAnsi="Times New Roman" w:cs="Times New Roman"/>
          <w:vertAlign w:val="superscript"/>
        </w:rPr>
        <w:t>3</w:t>
      </w:r>
      <w:r w:rsidRPr="009624FB">
        <w:rPr>
          <w:rFonts w:ascii="Times New Roman" w:eastAsia="Times New Roman" w:hAnsi="Times New Roman" w:cs="Times New Roman"/>
        </w:rPr>
        <w:t xml:space="preserve">, Francisco </w:t>
      </w:r>
      <w:proofErr w:type="spellStart"/>
      <w:r w:rsidRPr="009624FB">
        <w:rPr>
          <w:rFonts w:ascii="Times New Roman" w:eastAsia="Times New Roman" w:hAnsi="Times New Roman" w:cs="Times New Roman"/>
        </w:rPr>
        <w:t>Leppes</w:t>
      </w:r>
      <w:proofErr w:type="spellEnd"/>
      <w:r w:rsidRPr="009624FB">
        <w:rPr>
          <w:rFonts w:ascii="Times New Roman" w:eastAsia="Times New Roman" w:hAnsi="Times New Roman" w:cs="Times New Roman"/>
        </w:rPr>
        <w:t xml:space="preserve"> Jenkis</w:t>
      </w:r>
      <w:r w:rsidRPr="009624FB">
        <w:rPr>
          <w:rFonts w:ascii="Times New Roman" w:eastAsia="Times New Roman" w:hAnsi="Times New Roman" w:cs="Times New Roman"/>
          <w:vertAlign w:val="superscript"/>
        </w:rPr>
        <w:t>3</w:t>
      </w:r>
      <w:r w:rsidRPr="009624FB">
        <w:rPr>
          <w:rFonts w:ascii="Times New Roman" w:eastAsia="Times New Roman" w:hAnsi="Times New Roman" w:cs="Times New Roman"/>
        </w:rPr>
        <w:t>, Luis Salazar Vargas</w:t>
      </w:r>
      <w:r w:rsidRPr="009624FB">
        <w:rPr>
          <w:rFonts w:ascii="Times New Roman" w:eastAsia="Times New Roman" w:hAnsi="Times New Roman" w:cs="Times New Roman"/>
          <w:vertAlign w:val="superscript"/>
        </w:rPr>
        <w:t>2</w:t>
      </w:r>
      <w:r w:rsidRPr="009624FB">
        <w:rPr>
          <w:rFonts w:ascii="Times New Roman" w:eastAsia="Times New Roman" w:hAnsi="Times New Roman" w:cs="Times New Roman"/>
        </w:rPr>
        <w:t xml:space="preserve">, David </w:t>
      </w:r>
      <w:proofErr w:type="spellStart"/>
      <w:r w:rsidRPr="009624FB">
        <w:rPr>
          <w:rFonts w:ascii="Times New Roman" w:eastAsia="Times New Roman" w:hAnsi="Times New Roman" w:cs="Times New Roman"/>
        </w:rPr>
        <w:t>Güenchor</w:t>
      </w:r>
      <w:proofErr w:type="spellEnd"/>
      <w:r w:rsidRPr="009624FB">
        <w:rPr>
          <w:rFonts w:ascii="Times New Roman" w:eastAsia="Times New Roman" w:hAnsi="Times New Roman" w:cs="Times New Roman"/>
        </w:rPr>
        <w:t xml:space="preserve"> García</w:t>
      </w:r>
      <w:r w:rsidRPr="009624FB">
        <w:rPr>
          <w:rFonts w:ascii="Times New Roman" w:eastAsia="Times New Roman" w:hAnsi="Times New Roman" w:cs="Times New Roman"/>
          <w:vertAlign w:val="superscript"/>
        </w:rPr>
        <w:t>2</w:t>
      </w:r>
      <w:r w:rsidRPr="009624FB">
        <w:rPr>
          <w:rFonts w:ascii="Times New Roman" w:eastAsia="Times New Roman" w:hAnsi="Times New Roman" w:cs="Times New Roman"/>
        </w:rPr>
        <w:t>, Alejandra Muñoz Meynet</w:t>
      </w:r>
      <w:r w:rsidRPr="009624FB">
        <w:rPr>
          <w:rFonts w:ascii="Times New Roman" w:eastAsia="Times New Roman" w:hAnsi="Times New Roman" w:cs="Times New Roman"/>
          <w:vertAlign w:val="superscript"/>
        </w:rPr>
        <w:t>2</w:t>
      </w:r>
      <w:r w:rsidRPr="009624FB">
        <w:rPr>
          <w:rFonts w:ascii="Times New Roman" w:eastAsia="Times New Roman" w:hAnsi="Times New Roman" w:cs="Times New Roman"/>
        </w:rPr>
        <w:t>, Franco Zapata Pizarro</w:t>
      </w:r>
      <w:r w:rsidRPr="009624FB">
        <w:rPr>
          <w:rFonts w:ascii="Times New Roman" w:eastAsia="Times New Roman" w:hAnsi="Times New Roman" w:cs="Times New Roman"/>
          <w:vertAlign w:val="superscript"/>
        </w:rPr>
        <w:t>3</w:t>
      </w:r>
    </w:p>
    <w:p w:rsidR="00D5631D" w:rsidRPr="009624FB" w:rsidRDefault="0047472C" w:rsidP="009624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24FB">
        <w:rPr>
          <w:rFonts w:ascii="Times New Roman" w:eastAsia="Times New Roman" w:hAnsi="Times New Roman" w:cs="Times New Roman"/>
          <w:vertAlign w:val="superscript"/>
        </w:rPr>
        <w:t>1</w:t>
      </w:r>
      <w:r w:rsidRPr="009624FB">
        <w:rPr>
          <w:rFonts w:ascii="Times New Roman" w:eastAsia="Times New Roman" w:hAnsi="Times New Roman" w:cs="Times New Roman"/>
        </w:rPr>
        <w:t xml:space="preserve">Servicio de Medicina Interna. Hospital de Antofagasta - Facultad de Medicina Universidad de Antofagasta, </w:t>
      </w:r>
      <w:r w:rsidRPr="009624FB">
        <w:rPr>
          <w:rFonts w:ascii="Times New Roman" w:eastAsia="Times New Roman" w:hAnsi="Times New Roman" w:cs="Times New Roman"/>
          <w:vertAlign w:val="superscript"/>
        </w:rPr>
        <w:t>2</w:t>
      </w:r>
      <w:r w:rsidRPr="009624FB">
        <w:rPr>
          <w:rFonts w:ascii="Times New Roman" w:eastAsia="Times New Roman" w:hAnsi="Times New Roman" w:cs="Times New Roman"/>
        </w:rPr>
        <w:t xml:space="preserve">Servicio de Medicina Nuclear. Hospital de Antofagasta, </w:t>
      </w:r>
      <w:r w:rsidRPr="009624FB">
        <w:rPr>
          <w:rFonts w:ascii="Times New Roman" w:eastAsia="Times New Roman" w:hAnsi="Times New Roman" w:cs="Times New Roman"/>
          <w:vertAlign w:val="superscript"/>
        </w:rPr>
        <w:t>3</w:t>
      </w:r>
      <w:r w:rsidRPr="009624FB">
        <w:rPr>
          <w:rFonts w:ascii="Times New Roman" w:eastAsia="Times New Roman" w:hAnsi="Times New Roman" w:cs="Times New Roman"/>
        </w:rPr>
        <w:t>Facultad de Medicina Universidad de Antofagasta</w:t>
      </w:r>
    </w:p>
    <w:p w:rsidR="00902F30" w:rsidRPr="009624FB" w:rsidRDefault="0047472C" w:rsidP="009624FB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0" w:name="_GoBack"/>
      <w:bookmarkEnd w:id="0"/>
      <w:r w:rsidRPr="009624FB">
        <w:rPr>
          <w:b/>
          <w:sz w:val="22"/>
          <w:szCs w:val="22"/>
        </w:rPr>
        <w:t>Objetivos.</w:t>
      </w:r>
    </w:p>
    <w:p w:rsidR="00902F30" w:rsidRPr="009624FB" w:rsidRDefault="0047472C" w:rsidP="009624F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624FB">
        <w:rPr>
          <w:sz w:val="22"/>
          <w:szCs w:val="22"/>
        </w:rPr>
        <w:t>Evaluar el impacto del tratamiento hormonal de readecuación corporal en personas transgéneros en su masa ósea.</w:t>
      </w:r>
    </w:p>
    <w:p w:rsidR="00902F30" w:rsidRPr="009624FB" w:rsidRDefault="0047472C" w:rsidP="009624F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624FB">
        <w:rPr>
          <w:sz w:val="22"/>
          <w:szCs w:val="22"/>
        </w:rPr>
        <w:t>Diseño y metodología.</w:t>
      </w:r>
    </w:p>
    <w:p w:rsidR="00902F30" w:rsidRPr="009624FB" w:rsidRDefault="0047472C" w:rsidP="009624F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624FB">
        <w:rPr>
          <w:sz w:val="22"/>
          <w:szCs w:val="22"/>
        </w:rPr>
        <w:t xml:space="preserve">Se solicitó evaluación de densidad mineral ósea (DMO) con densitómetro de doble fotón utilizando el equipo LUNAR GE </w:t>
      </w:r>
      <w:proofErr w:type="spellStart"/>
      <w:r w:rsidRPr="009624FB">
        <w:rPr>
          <w:sz w:val="22"/>
          <w:szCs w:val="22"/>
        </w:rPr>
        <w:t>Healthcare</w:t>
      </w:r>
      <w:proofErr w:type="spellEnd"/>
      <w:r w:rsidRPr="009624FB">
        <w:rPr>
          <w:sz w:val="22"/>
          <w:szCs w:val="22"/>
        </w:rPr>
        <w:t xml:space="preserve">, a los pacientes que ingresaron al programa de tratamiento de readecuación corporal hormonal de la Unidad de Identidad de Género desde el 2016 al 2018. El estudio </w:t>
      </w:r>
      <w:proofErr w:type="spellStart"/>
      <w:r w:rsidRPr="009624FB">
        <w:rPr>
          <w:sz w:val="22"/>
          <w:szCs w:val="22"/>
        </w:rPr>
        <w:t>densitométrico</w:t>
      </w:r>
      <w:proofErr w:type="spellEnd"/>
      <w:r w:rsidRPr="009624FB">
        <w:rPr>
          <w:sz w:val="22"/>
          <w:szCs w:val="22"/>
        </w:rPr>
        <w:t xml:space="preserve"> se realizó en columna lumbar y ambas caderas, utilizando para el análisis el sexo biológico de los sujetos en estudio, los resultados se interpretaron según los criterios definidos por la </w:t>
      </w:r>
      <w:r w:rsidRPr="009624FB">
        <w:rPr>
          <w:rStyle w:val="nfasis"/>
          <w:sz w:val="22"/>
          <w:szCs w:val="22"/>
        </w:rPr>
        <w:t xml:space="preserve">International Society for Clinical </w:t>
      </w:r>
      <w:proofErr w:type="spellStart"/>
      <w:r w:rsidRPr="009624FB">
        <w:rPr>
          <w:rStyle w:val="nfasis"/>
          <w:sz w:val="22"/>
          <w:szCs w:val="22"/>
        </w:rPr>
        <w:t>Densitometry</w:t>
      </w:r>
      <w:proofErr w:type="spellEnd"/>
      <w:r w:rsidRPr="009624FB">
        <w:rPr>
          <w:sz w:val="22"/>
          <w:szCs w:val="22"/>
        </w:rPr>
        <w:t>. Se evaluó el tiempo de tratamiento hormonal previo, antecedentes de gonadectomía, historia de fracturas por fragilidad previas. Se solicitó consentimiento informado y aprobación del estudio por el comité de ética.</w:t>
      </w:r>
    </w:p>
    <w:p w:rsidR="00902F30" w:rsidRPr="009624FB" w:rsidRDefault="0047472C" w:rsidP="009624F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624FB">
        <w:rPr>
          <w:sz w:val="22"/>
          <w:szCs w:val="22"/>
        </w:rPr>
        <w:t>Resultados.</w:t>
      </w:r>
    </w:p>
    <w:p w:rsidR="00902F30" w:rsidRPr="009624FB" w:rsidRDefault="0047472C" w:rsidP="009624F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624FB">
        <w:rPr>
          <w:sz w:val="22"/>
          <w:szCs w:val="22"/>
        </w:rPr>
        <w:t xml:space="preserve">De 63 pacientes ingresados, 46 tenían estudio </w:t>
      </w:r>
      <w:proofErr w:type="spellStart"/>
      <w:r w:rsidRPr="009624FB">
        <w:rPr>
          <w:sz w:val="22"/>
          <w:szCs w:val="22"/>
        </w:rPr>
        <w:t>densitométrico</w:t>
      </w:r>
      <w:proofErr w:type="spellEnd"/>
      <w:r w:rsidRPr="009624FB">
        <w:rPr>
          <w:sz w:val="22"/>
          <w:szCs w:val="22"/>
        </w:rPr>
        <w:t xml:space="preserve"> al ingreso al programa, de ellos 24 tenían antecedentes de tratamiento hormonal previo.</w:t>
      </w:r>
    </w:p>
    <w:p w:rsidR="00902F30" w:rsidRPr="009624FB" w:rsidRDefault="0047472C" w:rsidP="009624F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624FB">
        <w:rPr>
          <w:sz w:val="22"/>
          <w:szCs w:val="22"/>
        </w:rPr>
        <w:t>9 DXA en personas trans-masculinas, promedios de edad 31.1 años, talla 1.57mts, peso 52Kgs, IMC 21.1, promedio de duración de tratamiento hormonal previo 5.1 años, DMO columna L1-L4 1.205gr/cm2, T 0.088, Z 0.088, cuello femoral izquierdo 0.994gr/cm2, T -0.22, Z 0, cuello femoral derecho 1.01gr/cm2 T-0,22, Z -0,16. 33% presentó DMO disminuida, todos ellos con antecedentes de gonadectomía previa y menores de 45 años. Ninguno tenía antecedentes de fractura previa.</w:t>
      </w:r>
    </w:p>
    <w:p w:rsidR="00902F30" w:rsidRPr="009624FB" w:rsidRDefault="0047472C" w:rsidP="009624F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624FB">
        <w:rPr>
          <w:sz w:val="22"/>
          <w:szCs w:val="22"/>
        </w:rPr>
        <w:t>15 DXA en personas trans-femeninas, promedios de edad 39.3 años, talla 1.68mts, peso 72.6Kg, IMC 25.5, promedio duración de tratamiento hormonal previo 6.8 años, DMO columna L1-L4 1.12gr/cm2, T -0.46, Z -0.68, cuello femoral izquierdo 1.02g/cm2, T-0.15, Z-0.09, cuello femoral derecho 0.99gr/cm2, T-0.35, Z-0.3. 33% presentó algún tipo de alteración en DMO, 7% osteoporosis, 13% osteopenia, 13% DMO disminuida. 2 pacientes con DMO disminuida estaban en tratamiento antiretroviral por VIH, 1 paciente con osteopenia tenía antecedente de gonadectomía. Ninguno presentaba antecedentes de fractura por fragilidad.</w:t>
      </w:r>
    </w:p>
    <w:p w:rsidR="00902F30" w:rsidRPr="009624FB" w:rsidRDefault="0047472C" w:rsidP="009624FB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9624FB">
        <w:rPr>
          <w:b/>
          <w:sz w:val="22"/>
          <w:szCs w:val="22"/>
        </w:rPr>
        <w:t>Discusión.</w:t>
      </w:r>
    </w:p>
    <w:p w:rsidR="00902F30" w:rsidRPr="009624FB" w:rsidRDefault="0047472C" w:rsidP="009624F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624FB">
        <w:rPr>
          <w:sz w:val="22"/>
          <w:szCs w:val="22"/>
        </w:rPr>
        <w:t xml:space="preserve">La demanda de atención de salud en las personas transgéneros está aumentando. El tratamiento hormonal de readecuación corporal puede estar asociado a alteraciones en la DMO. En nuestra muestra, en ambos grupos un tercio de los pacientes presentaron alteraciones en la DMO. Es importante una evaluación </w:t>
      </w:r>
      <w:proofErr w:type="spellStart"/>
      <w:r w:rsidRPr="009624FB">
        <w:rPr>
          <w:sz w:val="22"/>
          <w:szCs w:val="22"/>
        </w:rPr>
        <w:t>densitométrica</w:t>
      </w:r>
      <w:proofErr w:type="spellEnd"/>
      <w:r w:rsidRPr="009624FB">
        <w:rPr>
          <w:sz w:val="22"/>
          <w:szCs w:val="22"/>
        </w:rPr>
        <w:t xml:space="preserve"> al inicio del tratamiento hormonal cruzado y en el seguimiento, buscar enfermedades y factores de </w:t>
      </w:r>
      <w:proofErr w:type="gramStart"/>
      <w:r w:rsidRPr="009624FB">
        <w:rPr>
          <w:sz w:val="22"/>
          <w:szCs w:val="22"/>
        </w:rPr>
        <w:t>riesgo asociados, antecedentes</w:t>
      </w:r>
      <w:proofErr w:type="gramEnd"/>
      <w:r w:rsidRPr="009624FB">
        <w:rPr>
          <w:sz w:val="22"/>
          <w:szCs w:val="22"/>
        </w:rPr>
        <w:t xml:space="preserve"> de gonadectomía, así como fomentar hábitos saludables para disminuir el riesgo de alteraciones óseas en estos pacientes.</w:t>
      </w:r>
    </w:p>
    <w:p w:rsidR="0047472C" w:rsidRPr="009624FB" w:rsidRDefault="0047472C" w:rsidP="009624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24FB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9624FB">
        <w:rPr>
          <w:rFonts w:ascii="Times New Roman" w:eastAsia="Times New Roman" w:hAnsi="Times New Roman" w:cs="Times New Roman"/>
        </w:rPr>
        <w:t xml:space="preserve">Sin financiamiento </w:t>
      </w:r>
    </w:p>
    <w:sectPr w:rsidR="0047472C" w:rsidRPr="009624FB" w:rsidSect="00902F30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785E"/>
    <w:rsid w:val="0047472C"/>
    <w:rsid w:val="00635872"/>
    <w:rsid w:val="00902F30"/>
    <w:rsid w:val="009624FB"/>
    <w:rsid w:val="00AF785E"/>
    <w:rsid w:val="00D0522A"/>
    <w:rsid w:val="00D5631D"/>
    <w:rsid w:val="00EF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02F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cp:lastPrinted>2018-08-06T19:39:00Z</cp:lastPrinted>
  <dcterms:created xsi:type="dcterms:W3CDTF">2018-08-06T19:40:00Z</dcterms:created>
  <dcterms:modified xsi:type="dcterms:W3CDTF">2018-09-30T21:08:00Z</dcterms:modified>
</cp:coreProperties>
</file>